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293867" w:rsidRDefault="001B3773">
      <w:pPr>
        <w:spacing w:before="200" w:after="80"/>
      </w:pPr>
      <w:r>
        <w:rPr>
          <w:b/>
          <w:bCs/>
          <w:color w:val="1F3864"/>
          <w:sz w:val="44"/>
          <w:szCs w:val="44"/>
        </w:rPr>
        <w:t>WDI 2026 Topic Scoring Criteria</w:t>
      </w:r>
    </w:p>
    <w:p w14:paraId="6FA47348" w14:textId="77777777" w:rsidR="00293867" w:rsidRDefault="001B3773">
      <w:pPr>
        <w:spacing w:after="300"/>
      </w:pPr>
      <w:r>
        <w:rPr>
          <w:b/>
          <w:bCs/>
          <w:color w:val="2E75B6"/>
          <w:sz w:val="36"/>
          <w:szCs w:val="36"/>
        </w:rPr>
        <w:t>Topic 1: Governance Structure and Management</w:t>
      </w:r>
    </w:p>
    <w:p w14:paraId="672A6659" w14:textId="77777777" w:rsidR="00293867" w:rsidRDefault="00293867">
      <w:pPr>
        <w:pBdr>
          <w:bottom w:val="single" w:sz="4" w:space="1" w:color="D9D9D9"/>
        </w:pBdr>
        <w:spacing w:before="240" w:after="240"/>
      </w:pPr>
    </w:p>
    <w:p w14:paraId="043D9F99" w14:textId="77777777" w:rsidR="00293867" w:rsidRDefault="001B3773">
      <w:pPr>
        <w:pStyle w:val="Heading1"/>
        <w:spacing w:before="360" w:after="160"/>
      </w:pPr>
      <w:r w:rsidRPr="7DD0EF4F">
        <w:rPr>
          <w:b/>
          <w:bCs/>
          <w:color w:val="1F3864" w:themeColor="accent1" w:themeShade="80"/>
          <w:sz w:val="34"/>
          <w:szCs w:val="34"/>
        </w:rPr>
        <w:t>1. Topic Overview</w:t>
      </w:r>
    </w:p>
    <w:p w14:paraId="26E00D01" w14:textId="77777777" w:rsidR="00293867" w:rsidRDefault="001B3773">
      <w:pPr>
        <w:spacing w:before="80" w:after="80"/>
      </w:pPr>
      <w:r>
        <w:rPr>
          <w:color w:val="1A1A1A"/>
        </w:rPr>
        <w:t xml:space="preserve">This topic assesses the governance structures through which Board-level and executive-level oversight of workforce and human rights topics is </w:t>
      </w:r>
      <w:proofErr w:type="spellStart"/>
      <w:r>
        <w:rPr>
          <w:color w:val="1A1A1A"/>
        </w:rPr>
        <w:t>organised</w:t>
      </w:r>
      <w:proofErr w:type="spellEnd"/>
      <w:r>
        <w:rPr>
          <w:color w:val="1A1A1A"/>
        </w:rPr>
        <w:t>, and how information on workforce matters flows into governance processes to inform strategic planning. It establishes the governance architecture underpinning all subsequent WDI topics.</w:t>
      </w:r>
    </w:p>
    <w:p w14:paraId="59D9742C" w14:textId="77777777" w:rsidR="00293867" w:rsidRDefault="001B3773">
      <w:pPr>
        <w:spacing w:before="80" w:after="80"/>
      </w:pPr>
      <w:r>
        <w:rPr>
          <w:color w:val="1A1A1A"/>
        </w:rPr>
        <w:t>The topic is scored using two questions, both always applicable: Q1.1 (oversight body identification table, rows can be added) and Q1.2 (information integration into governance processes, text 300 words). Q1.A is excluded from scoring.</w:t>
      </w:r>
    </w:p>
    <w:p w14:paraId="44D7CC5B" w14:textId="77777777" w:rsidR="00293867" w:rsidRDefault="001B3773">
      <w:pPr>
        <w:pStyle w:val="Heading2"/>
        <w:spacing w:before="280" w:after="120"/>
      </w:pPr>
      <w:r>
        <w:rPr>
          <w:b/>
          <w:bCs/>
          <w:color w:val="2E75B6"/>
        </w:rPr>
        <w:t>No Action Dimension</w:t>
      </w:r>
    </w:p>
    <w:p w14:paraId="213BF5D2" w14:textId="77777777" w:rsidR="00293867" w:rsidRDefault="001B3773">
      <w:pPr>
        <w:spacing w:before="80" w:after="80"/>
      </w:pPr>
      <w:r>
        <w:rPr>
          <w:color w:val="1A1A1A"/>
        </w:rPr>
        <w:t xml:space="preserve">The 3A evidence columns confirm Action = (none identified) for both questions. This topic asks companies to identify governance structures and describe governance processes — it does not ask for evidence of implemented workforce </w:t>
      </w:r>
      <w:proofErr w:type="spellStart"/>
      <w:r>
        <w:rPr>
          <w:color w:val="1A1A1A"/>
        </w:rPr>
        <w:t>programmes</w:t>
      </w:r>
      <w:proofErr w:type="spellEnd"/>
      <w:r>
        <w:rPr>
          <w:color w:val="1A1A1A"/>
        </w:rPr>
        <w:t xml:space="preserve"> or outcomes. It is a two-dimension topic: Awareness and Approach only.</w:t>
      </w:r>
    </w:p>
    <w:p w14:paraId="6D97BF98" w14:textId="77777777" w:rsidR="00293867" w:rsidRDefault="001B3773">
      <w:pPr>
        <w:pStyle w:val="Heading2"/>
        <w:spacing w:before="280" w:after="120"/>
      </w:pPr>
      <w:r>
        <w:rPr>
          <w:b/>
          <w:bCs/>
          <w:color w:val="2E75B6"/>
        </w:rPr>
        <w:t>How Q1.1’s Table Splits Across Dimensions</w:t>
      </w:r>
    </w:p>
    <w:p w14:paraId="639CB4A3" w14:textId="77777777" w:rsidR="00293867" w:rsidRDefault="001B3773">
      <w:pPr>
        <w:spacing w:before="80" w:after="80"/>
      </w:pPr>
      <w:r>
        <w:rPr>
          <w:color w:val="1A1A1A"/>
        </w:rPr>
        <w:t xml:space="preserve">Table Q1.1 has four columns, and they split across two dimensions. The first three columns — oversight body name, type of oversight body (dropdown), and workforce/HR topics covered (multi-select </w:t>
      </w:r>
      <w:proofErr w:type="gramStart"/>
      <w:r>
        <w:rPr>
          <w:color w:val="1A1A1A"/>
        </w:rPr>
        <w:t>dropdown) —</w:t>
      </w:r>
      <w:proofErr w:type="gramEnd"/>
      <w:r>
        <w:rPr>
          <w:color w:val="1A1A1A"/>
        </w:rPr>
        <w:t xml:space="preserve"> constitute Awareness evidence: they identify and name which governance structures exist and what they cover. The fourth column — the 300-word description of the remit and responsibilities — constitutes Approach evidence: it describes how each body oversees topics in practice, including G2 elements (review, monitoring, escalation, follow-up processes). Analysts must assess these two elements separately.</w:t>
      </w:r>
    </w:p>
    <w:p w14:paraId="499DABAE" w14:textId="77777777" w:rsidR="00293867" w:rsidRDefault="001B3773">
      <w:pPr>
        <w:pStyle w:val="Heading2"/>
        <w:spacing w:before="280" w:after="120"/>
      </w:pPr>
      <w:r>
        <w:rPr>
          <w:b/>
          <w:bCs/>
          <w:color w:val="2E75B6"/>
        </w:rPr>
        <w:t>3A Dimension Mapping</w:t>
      </w:r>
    </w:p>
    <w:p w14:paraId="29B186E5" w14:textId="77777777" w:rsidR="00293867" w:rsidRDefault="001B3773">
      <w:pPr>
        <w:spacing w:before="80" w:after="80"/>
      </w:pPr>
      <w:r>
        <w:rPr>
          <w:color w:val="1A1A1A"/>
        </w:rPr>
        <w:t>Awareness: Q1.1 columns 1–3 (always — identifying oversight bodies, their type, and the workforce/HR topics each body oversees). The breadth of body types (Board vs executive) and topic coverage both contribute. Approach: Q1.1 column 4 description (always — how each body oversees topics in practice, including review, monitoring, escalation, and follow-up) + Q1.2 (always — what workforce-related information is provided to governance bodies, which forums consider it, the frequency of review, and how it informs governance decisions and strategic planning).</w:t>
      </w:r>
    </w:p>
    <w:p w14:paraId="3793263B" w14:textId="77777777" w:rsidR="00293867" w:rsidRDefault="001B3773">
      <w:pPr>
        <w:spacing w:before="80" w:after="60"/>
      </w:pPr>
      <w:r>
        <w:rPr>
          <w:i/>
          <w:iCs/>
          <w:color w:val="666666"/>
          <w:sz w:val="17"/>
          <w:szCs w:val="17"/>
        </w:rPr>
        <w:t>Q1.A (Notes on Governance structure and management) is excluded from scoring.</w:t>
      </w:r>
    </w:p>
    <w:p w14:paraId="0A37501D" w14:textId="77777777" w:rsidR="00293867" w:rsidRDefault="00293867">
      <w:pPr>
        <w:pBdr>
          <w:bottom w:val="single" w:sz="4" w:space="1" w:color="D9D9D9"/>
        </w:pBdr>
        <w:spacing w:before="240" w:after="240"/>
      </w:pPr>
    </w:p>
    <w:p w14:paraId="3736FDB2" w14:textId="77777777" w:rsidR="00293867" w:rsidRDefault="001B3773">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293867" w14:paraId="714E361B" w14:textId="77777777">
        <w:trPr>
          <w:tblHeader/>
        </w:trPr>
        <w:tc>
          <w:tcPr>
            <w:tcW w:w="504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293867" w:rsidRDefault="001B3773">
            <w:pPr>
              <w:jc w:val="center"/>
            </w:pPr>
            <w:r>
              <w:rPr>
                <w:b/>
                <w:bCs/>
                <w:color w:val="FFFFFF"/>
                <w:sz w:val="17"/>
                <w:szCs w:val="17"/>
              </w:rPr>
              <w:t>AWARENESS</w:t>
            </w:r>
          </w:p>
        </w:tc>
        <w:tc>
          <w:tcPr>
            <w:tcW w:w="504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293867" w:rsidRDefault="001B3773">
            <w:pPr>
              <w:jc w:val="center"/>
            </w:pPr>
            <w:r>
              <w:rPr>
                <w:b/>
                <w:bCs/>
                <w:color w:val="FFFFFF"/>
                <w:sz w:val="17"/>
                <w:szCs w:val="17"/>
              </w:rPr>
              <w:t>APPROACH</w:t>
            </w:r>
          </w:p>
        </w:tc>
      </w:tr>
      <w:tr w:rsidR="00293867" w14:paraId="643ED91F" w14:textId="77777777">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DC32DB6" w14:textId="77777777" w:rsidR="00293867" w:rsidRDefault="001B3773">
            <w:pPr>
              <w:spacing w:before="20" w:after="20"/>
            </w:pPr>
            <w:r>
              <w:rPr>
                <w:color w:val="1A1A1A"/>
                <w:sz w:val="18"/>
                <w:szCs w:val="18"/>
              </w:rPr>
              <w:t>Awareness is assessed from Q1.1 columns 1–3 only (always applicable).  Column 1 — Oversight body name: identifying which specific body (e.g</w:t>
            </w:r>
            <w:proofErr w:type="gramStart"/>
            <w:r>
              <w:rPr>
                <w:color w:val="1A1A1A"/>
                <w:sz w:val="18"/>
                <w:szCs w:val="18"/>
              </w:rPr>
              <w:t>., ‘</w:t>
            </w:r>
            <w:proofErr w:type="gramEnd"/>
            <w:r>
              <w:rPr>
                <w:color w:val="1A1A1A"/>
                <w:sz w:val="18"/>
                <w:szCs w:val="18"/>
              </w:rPr>
              <w:t>Remuneration and People Committee</w:t>
            </w:r>
            <w:proofErr w:type="gramStart"/>
            <w:r>
              <w:rPr>
                <w:color w:val="1A1A1A"/>
                <w:sz w:val="18"/>
                <w:szCs w:val="18"/>
              </w:rPr>
              <w:t>’, ‘</w:t>
            </w:r>
            <w:proofErr w:type="gramEnd"/>
            <w:r>
              <w:rPr>
                <w:color w:val="1A1A1A"/>
                <w:sz w:val="18"/>
                <w:szCs w:val="18"/>
              </w:rPr>
              <w:t>CEO</w:t>
            </w:r>
            <w:proofErr w:type="gramStart"/>
            <w:r>
              <w:rPr>
                <w:color w:val="1A1A1A"/>
                <w:sz w:val="18"/>
                <w:szCs w:val="18"/>
              </w:rPr>
              <w:t>’, ‘</w:t>
            </w:r>
            <w:proofErr w:type="gramEnd"/>
            <w:r>
              <w:rPr>
                <w:color w:val="1A1A1A"/>
                <w:sz w:val="18"/>
                <w:szCs w:val="18"/>
              </w:rPr>
              <w:t xml:space="preserve">Chief People Officer’) has oversight responsibility. Naming a body is the recognition act.  Column 2 — Type of oversight body dropdown: selecting from Full board or equivalent, Board member or </w:t>
            </w:r>
            <w:r>
              <w:rPr>
                <w:color w:val="1A1A1A"/>
                <w:sz w:val="18"/>
                <w:szCs w:val="18"/>
              </w:rPr>
              <w:lastRenderedPageBreak/>
              <w:t xml:space="preserve">equivalent, Chair or equivalent, Board committee or equivalent, Executive committee or equivalent, Executive member or equivalent, Other. This </w:t>
            </w:r>
            <w:proofErr w:type="spellStart"/>
            <w:r>
              <w:rPr>
                <w:color w:val="1A1A1A"/>
                <w:sz w:val="18"/>
                <w:szCs w:val="18"/>
              </w:rPr>
              <w:t>contextualises</w:t>
            </w:r>
            <w:proofErr w:type="spellEnd"/>
            <w:r>
              <w:rPr>
                <w:color w:val="1A1A1A"/>
                <w:sz w:val="18"/>
                <w:szCs w:val="18"/>
              </w:rPr>
              <w:t xml:space="preserve"> what level (Board or executive) each body sits at.  Column 3 — Workforce and HR topics dropdown (select all that apply): topics available include Attracting and retaining workers, Automation and AI, Diversity, and many others. The breadth of topics selected </w:t>
            </w:r>
            <w:proofErr w:type="gramStart"/>
            <w:r>
              <w:rPr>
                <w:color w:val="1A1A1A"/>
                <w:sz w:val="18"/>
                <w:szCs w:val="18"/>
              </w:rPr>
              <w:t>per</w:t>
            </w:r>
            <w:proofErr w:type="gramEnd"/>
            <w:r>
              <w:rPr>
                <w:color w:val="1A1A1A"/>
                <w:sz w:val="18"/>
                <w:szCs w:val="18"/>
              </w:rPr>
              <w:t xml:space="preserve"> </w:t>
            </w:r>
            <w:proofErr w:type="gramStart"/>
            <w:r>
              <w:rPr>
                <w:color w:val="1A1A1A"/>
                <w:sz w:val="18"/>
                <w:szCs w:val="18"/>
              </w:rPr>
              <w:t>oversight body</w:t>
            </w:r>
            <w:proofErr w:type="gramEnd"/>
            <w:r>
              <w:rPr>
                <w:color w:val="1A1A1A"/>
                <w:sz w:val="18"/>
                <w:szCs w:val="18"/>
              </w:rPr>
              <w:t xml:space="preserve"> indicates the scope of governance recognition.  Better Awareness = more oversight bodies identified with broader topic coverage, particularly where both Board-level and executive-level bodies are named with distinct topic responsibilities.  OR and </w:t>
            </w:r>
            <w:proofErr w:type="spellStart"/>
            <w:r>
              <w:rPr>
                <w:color w:val="1A1A1A"/>
                <w:sz w:val="18"/>
                <w:szCs w:val="18"/>
              </w:rPr>
              <w:t>AND</w:t>
            </w:r>
            <w:proofErr w:type="spellEnd"/>
            <w:r>
              <w:rPr>
                <w:color w:val="1A1A1A"/>
                <w:sz w:val="18"/>
                <w:szCs w:val="18"/>
              </w:rPr>
              <w:t xml:space="preserve"> logic: a single body with some topics = score 1–2 (OR). Score 5 requires AND: multiple bodies identified covering both Board-level and </w:t>
            </w:r>
            <w:proofErr w:type="gramStart"/>
            <w:r>
              <w:rPr>
                <w:color w:val="1A1A1A"/>
                <w:sz w:val="18"/>
                <w:szCs w:val="18"/>
              </w:rPr>
              <w:t>executive</w:t>
            </w:r>
            <w:proofErr w:type="gramEnd"/>
            <w:r>
              <w:rPr>
                <w:color w:val="1A1A1A"/>
                <w:sz w:val="18"/>
                <w:szCs w:val="18"/>
              </w:rPr>
              <w:t>-level types, with broad workforce topic coverage across at least one body.  Primary evidence: completeness of Q1.1 columns 1–3 — body names, body types, and topics selected.</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CA6CE23" w14:textId="77777777" w:rsidR="00293867" w:rsidRDefault="001B3773">
            <w:pPr>
              <w:spacing w:before="20" w:after="20"/>
            </w:pPr>
            <w:r>
              <w:rPr>
                <w:color w:val="1A1A1A"/>
                <w:sz w:val="18"/>
                <w:szCs w:val="18"/>
              </w:rPr>
              <w:lastRenderedPageBreak/>
              <w:t xml:space="preserve">Approach is assessed </w:t>
            </w:r>
            <w:proofErr w:type="gramStart"/>
            <w:r>
              <w:rPr>
                <w:color w:val="1A1A1A"/>
                <w:sz w:val="18"/>
                <w:szCs w:val="18"/>
              </w:rPr>
              <w:t>from Q1.1</w:t>
            </w:r>
            <w:proofErr w:type="gramEnd"/>
            <w:r>
              <w:rPr>
                <w:color w:val="1A1A1A"/>
                <w:sz w:val="18"/>
                <w:szCs w:val="18"/>
              </w:rPr>
              <w:t xml:space="preserve"> column 4 and Q1.2, both always applicable.  Q1.1 column 4 — Description of remit and responsibilities (300 words per row): the G2 evidence describing how each oversight body operates in practice. The guidance asks for: how each Board-level or executive-level body oversees workforce and human rights topics in practice, including review, monitoring, escalation, and </w:t>
            </w:r>
            <w:r>
              <w:rPr>
                <w:color w:val="1A1A1A"/>
                <w:sz w:val="18"/>
                <w:szCs w:val="18"/>
              </w:rPr>
              <w:lastRenderedPageBreak/>
              <w:t xml:space="preserve">follow-up processes. This is process/system evidence: what happens at each governance body meeting or interval in relation to workforce matters.  Q1.2 (always applicable, 300 words): the information flow and governance integration description. The guidance asks for: (1) the workforce-related information provided to those with governance responsibility, including information on </w:t>
            </w:r>
            <w:proofErr w:type="spellStart"/>
            <w:r>
              <w:rPr>
                <w:color w:val="1A1A1A"/>
                <w:sz w:val="18"/>
                <w:szCs w:val="18"/>
              </w:rPr>
              <w:t>labour</w:t>
            </w:r>
            <w:proofErr w:type="spellEnd"/>
            <w:r>
              <w:rPr>
                <w:color w:val="1A1A1A"/>
                <w:sz w:val="18"/>
                <w:szCs w:val="18"/>
              </w:rPr>
              <w:t xml:space="preserve"> rights risks, opportunities, performance, and progress against targets; (2) the relevant governance forums/bodies through which this information is considered; (3) the frequency with which governance bodies review or discuss this information; (4) how this information is used to inform governance decisions and company strategic planning on workforce matters. G2 </w:t>
            </w:r>
            <w:proofErr w:type="gramStart"/>
            <w:r>
              <w:rPr>
                <w:color w:val="1A1A1A"/>
                <w:sz w:val="18"/>
                <w:szCs w:val="18"/>
              </w:rPr>
              <w:t>adds:</w:t>
            </w:r>
            <w:proofErr w:type="gramEnd"/>
            <w:r>
              <w:rPr>
                <w:color w:val="1A1A1A"/>
                <w:sz w:val="18"/>
                <w:szCs w:val="18"/>
              </w:rPr>
              <w:t xml:space="preserve"> how workforce-related information is provided to governance bodies, reviewed, and used to inform strategic planning and workforce management decisions.  OR and </w:t>
            </w:r>
            <w:proofErr w:type="spellStart"/>
            <w:r>
              <w:rPr>
                <w:color w:val="1A1A1A"/>
                <w:sz w:val="18"/>
                <w:szCs w:val="18"/>
              </w:rPr>
              <w:t>AND</w:t>
            </w:r>
            <w:proofErr w:type="spellEnd"/>
            <w:r>
              <w:rPr>
                <w:color w:val="1A1A1A"/>
                <w:sz w:val="18"/>
                <w:szCs w:val="18"/>
              </w:rPr>
              <w:t xml:space="preserve"> logic: either source alone can reach lower levels (OR). Score 5 requires AND: Q1.1 description column addresses how each named body operates in practice (review, monitoring, escalation, follow-up) AND Q1.2 addresses all four G1 elements (information content, governance forums, frequency, use in strategic planning).  Primary evidence: depth and specificity of Q1.1 descriptions per body; completeness of Q1.2 across all four information-flow elements.</w:t>
            </w:r>
          </w:p>
        </w:tc>
      </w:tr>
    </w:tbl>
    <w:p w14:paraId="5DAB6C7B" w14:textId="77777777" w:rsidR="00293867" w:rsidRDefault="00293867">
      <w:pPr>
        <w:pBdr>
          <w:bottom w:val="single" w:sz="4" w:space="1" w:color="D9D9D9"/>
        </w:pBdr>
        <w:spacing w:before="240" w:after="240"/>
      </w:pPr>
    </w:p>
    <w:p w14:paraId="6E9172E9" w14:textId="77777777" w:rsidR="00293867" w:rsidRDefault="001B3773">
      <w:pPr>
        <w:pStyle w:val="Heading1"/>
        <w:spacing w:before="360" w:after="160"/>
      </w:pPr>
      <w:r>
        <w:rPr>
          <w:b/>
          <w:bCs/>
          <w:color w:val="1F3864"/>
          <w:sz w:val="34"/>
          <w:szCs w:val="34"/>
        </w:rPr>
        <w:t>3. Scoring Rubric — All Dimensions</w:t>
      </w:r>
    </w:p>
    <w:p w14:paraId="41AF10C8" w14:textId="77777777" w:rsidR="00293867" w:rsidRDefault="001B3773">
      <w:pPr>
        <w:spacing w:before="80" w:after="60"/>
      </w:pPr>
      <w:r>
        <w:rPr>
          <w:i/>
          <w:iCs/>
          <w:color w:val="666666"/>
          <w:sz w:val="17"/>
          <w:szCs w:val="17"/>
        </w:rPr>
        <w:t xml:space="preserve">No Action dimension. Awareness uses 0,1,2,3,5. Approach uses 0,1,2,3,5. Both questions </w:t>
      </w:r>
      <w:proofErr w:type="gramStart"/>
      <w:r>
        <w:rPr>
          <w:i/>
          <w:iCs/>
          <w:color w:val="666666"/>
          <w:sz w:val="17"/>
          <w:szCs w:val="17"/>
        </w:rPr>
        <w:t>always</w:t>
      </w:r>
      <w:proofErr w:type="gramEnd"/>
      <w:r>
        <w:rPr>
          <w:i/>
          <w:iCs/>
          <w:color w:val="666666"/>
          <w:sz w:val="17"/>
          <w:szCs w:val="17"/>
        </w:rPr>
        <w:t xml:space="preserve"> applicable. OR logic at lower levels; AND at score 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6"/>
        <w:gridCol w:w="677"/>
        <w:gridCol w:w="1194"/>
        <w:gridCol w:w="3658"/>
        <w:gridCol w:w="2695"/>
      </w:tblGrid>
      <w:tr w:rsidR="00293867" w14:paraId="09CC2D0F" w14:textId="77777777" w:rsidTr="6C706155">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293867" w:rsidRDefault="001B3773">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293867" w:rsidRDefault="001B3773">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293867" w:rsidRDefault="001B3773">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293867" w:rsidRDefault="001B3773">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293867" w:rsidRDefault="001B3773">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293867" w:rsidRDefault="001B3773">
            <w:pPr>
              <w:jc w:val="center"/>
            </w:pPr>
            <w:r>
              <w:rPr>
                <w:b/>
                <w:bCs/>
                <w:color w:val="FFFFFF"/>
                <w:sz w:val="15"/>
                <w:szCs w:val="15"/>
              </w:rPr>
              <w:t>Next Step</w:t>
            </w:r>
          </w:p>
        </w:tc>
      </w:tr>
      <w:tr w:rsidR="00293867" w14:paraId="35F89A43"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49841BE" w14:textId="77777777" w:rsidR="00293867" w:rsidRDefault="001B3773">
            <w:pPr>
              <w:spacing w:before="20" w:after="20"/>
              <w:jc w:val="center"/>
            </w:pPr>
            <w:r>
              <w:rPr>
                <w:b/>
                <w:bCs/>
                <w:color w:val="1A1A1A"/>
                <w:sz w:val="17"/>
                <w:szCs w:val="17"/>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293867" w:rsidRDefault="001B377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293867" w:rsidRDefault="001B377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293867" w:rsidRDefault="001B3773">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A2DA21C" w14:textId="77777777" w:rsidR="00293867" w:rsidRDefault="6C706155">
            <w:pPr>
              <w:spacing w:before="20" w:after="20"/>
            </w:pPr>
            <w:r w:rsidRPr="6C706155">
              <w:rPr>
                <w:color w:val="1A1A1A"/>
                <w:sz w:val="18"/>
                <w:szCs w:val="18"/>
              </w:rPr>
              <w:t>Q1.1 is entirely blank — no oversight bodies named, no types selected, no topics identified. The company provides no recognition of any governance structure for workforce and human rights topics.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1D45675" w14:textId="77777777" w:rsidR="00293867" w:rsidRDefault="001B3773">
            <w:pPr>
              <w:spacing w:before="20" w:after="20"/>
            </w:pPr>
            <w:r>
              <w:rPr>
                <w:i/>
                <w:iCs/>
                <w:color w:val="1A1A1A"/>
                <w:sz w:val="17"/>
                <w:szCs w:val="17"/>
              </w:rPr>
              <w:t>Name at least one oversight body in Q1.1 (e.g., the Board, a committee, or an executive role), select its type, and select at least one workforce/HR topic it oversees.</w:t>
            </w:r>
          </w:p>
        </w:tc>
      </w:tr>
      <w:tr w:rsidR="00293867" w14:paraId="042D39B8"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293867" w:rsidRDefault="001B3773">
            <w:pPr>
              <w:spacing w:before="20" w:after="20"/>
              <w:jc w:val="center"/>
            </w:pPr>
            <w:r>
              <w:rPr>
                <w:b/>
                <w:bCs/>
                <w:color w:val="1A1A1A"/>
                <w:sz w:val="17"/>
                <w:szCs w:val="17"/>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293867" w:rsidRDefault="001B377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9FAAB8" w14:textId="77777777" w:rsidR="00293867" w:rsidRDefault="001B377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293867" w:rsidRDefault="001B3773">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026A00" w14:textId="77777777" w:rsidR="00293867" w:rsidRDefault="6C706155">
            <w:pPr>
              <w:spacing w:before="20" w:after="20"/>
            </w:pPr>
            <w:r w:rsidRPr="6C706155">
              <w:rPr>
                <w:color w:val="1A1A1A"/>
                <w:sz w:val="18"/>
                <w:szCs w:val="18"/>
              </w:rPr>
              <w:t>Q1.1 has at least one body named with a type selected, but with no workforce/HR topics selected (or only one topic selected), and the description column is blank or not relevant for Awareness purposes. The company has identified that a governance body exists but has not mapped its oversight scope.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0364305" w14:textId="77777777" w:rsidR="00293867" w:rsidRDefault="6C706155">
            <w:pPr>
              <w:spacing w:before="20" w:after="20"/>
            </w:pPr>
            <w:r w:rsidRPr="6C706155">
              <w:rPr>
                <w:i/>
                <w:iCs/>
                <w:color w:val="1A1A1A"/>
                <w:sz w:val="17"/>
                <w:szCs w:val="17"/>
              </w:rPr>
              <w:t>For each named body, select the workforce and HR-related topics it oversees from the dropdown. A body with no topic selections does not demonstrate meaningful governance recognition.</w:t>
            </w:r>
          </w:p>
        </w:tc>
      </w:tr>
      <w:tr w:rsidR="00293867" w14:paraId="4752183B"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9F14E3C" w14:textId="77777777" w:rsidR="00293867" w:rsidRDefault="001B3773">
            <w:pPr>
              <w:spacing w:before="20" w:after="20"/>
              <w:jc w:val="center"/>
            </w:pPr>
            <w:r>
              <w:rPr>
                <w:b/>
                <w:bCs/>
                <w:color w:val="1A1A1A"/>
                <w:sz w:val="17"/>
                <w:szCs w:val="17"/>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293867" w:rsidRDefault="001B377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8F999B5" w14:textId="77777777" w:rsidR="00293867" w:rsidRDefault="001B3773">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042996F" w14:textId="77777777" w:rsidR="00293867" w:rsidRDefault="001B3773">
            <w:pPr>
              <w:spacing w:before="20" w:after="20"/>
            </w:pPr>
            <w:r>
              <w:rPr>
                <w:i/>
                <w:iCs/>
                <w:color w:val="1A1A1A"/>
                <w:sz w:val="17"/>
                <w:szCs w:val="17"/>
              </w:rPr>
              <w:t>Basic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E0AB219" w14:textId="77777777" w:rsidR="00293867" w:rsidRDefault="001B3773">
            <w:pPr>
              <w:spacing w:before="20" w:after="20"/>
            </w:pPr>
            <w:r>
              <w:rPr>
                <w:color w:val="1A1A1A"/>
                <w:sz w:val="18"/>
                <w:szCs w:val="18"/>
              </w:rPr>
              <w:t>Q1.1 has at least one body named with type selected AND at least some workforce/HR topics selected for that body. However, only a single governance level is represented (e.g., only Board-level OR only executive-level, not both), and/or topic coverage is narrow (limited to 2–3 topics across all bodies).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64DCD80" w14:textId="77777777" w:rsidR="00293867" w:rsidRDefault="6C706155">
            <w:pPr>
              <w:spacing w:before="20" w:after="20"/>
            </w:pPr>
            <w:r w:rsidRPr="6C706155">
              <w:rPr>
                <w:i/>
                <w:iCs/>
                <w:color w:val="1A1A1A"/>
                <w:sz w:val="17"/>
                <w:szCs w:val="17"/>
              </w:rPr>
              <w:t xml:space="preserve">Identify whether both Board-level and executive-level governance bodies have distinct oversight responsibilities for workforce matters. If they do, add a separate row for each. Select a broader range of workforce and HR topics for each body to reflect the actual </w:t>
            </w:r>
            <w:r w:rsidRPr="6C706155">
              <w:rPr>
                <w:i/>
                <w:iCs/>
                <w:color w:val="1A1A1A"/>
                <w:sz w:val="17"/>
                <w:szCs w:val="17"/>
              </w:rPr>
              <w:lastRenderedPageBreak/>
              <w:t>scope of what each body oversees.</w:t>
            </w:r>
          </w:p>
        </w:tc>
      </w:tr>
      <w:tr w:rsidR="00293867" w14:paraId="3947C266"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65D2414" w14:textId="77777777" w:rsidR="00293867" w:rsidRDefault="001B3773">
            <w:pPr>
              <w:spacing w:before="20" w:after="20"/>
              <w:jc w:val="center"/>
            </w:pPr>
            <w:r>
              <w:rPr>
                <w:b/>
                <w:bCs/>
                <w:color w:val="1A1A1A"/>
                <w:sz w:val="17"/>
                <w:szCs w:val="17"/>
              </w:rPr>
              <w:lastRenderedPageBreak/>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293867" w:rsidRDefault="001B377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FCD5EC4" w14:textId="77777777" w:rsidR="00293867" w:rsidRDefault="001B377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ABDA75E" w14:textId="77777777" w:rsidR="00293867" w:rsidRDefault="001B3773">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45C984D" w14:textId="77777777" w:rsidR="00293867" w:rsidRDefault="001B3773">
            <w:pPr>
              <w:spacing w:before="20" w:after="20"/>
            </w:pPr>
            <w:r>
              <w:rPr>
                <w:color w:val="1A1A1A"/>
                <w:sz w:val="18"/>
                <w:szCs w:val="18"/>
              </w:rPr>
              <w:t xml:space="preserve">Q1.1 identifies multiple bodies (at least two) with types selected and workforce/HR topics selected for each, covering at least both Board-level and executive-level governance. Topic coverage is meaningful across bodies — more than 3 distinct topic areas across all bodies combined. The governance architecture is </w:t>
            </w:r>
            <w:proofErr w:type="spellStart"/>
            <w:r>
              <w:rPr>
                <w:color w:val="1A1A1A"/>
                <w:sz w:val="18"/>
                <w:szCs w:val="18"/>
              </w:rPr>
              <w:t>recognisably</w:t>
            </w:r>
            <w:proofErr w:type="spellEnd"/>
            <w:r>
              <w:rPr>
                <w:color w:val="1A1A1A"/>
                <w:sz w:val="18"/>
                <w:szCs w:val="18"/>
              </w:rPr>
              <w:t xml:space="preserve"> described.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F3F5D90" w14:textId="77777777" w:rsidR="00293867" w:rsidRDefault="001B3773">
            <w:pPr>
              <w:spacing w:before="20" w:after="20"/>
            </w:pPr>
            <w:r>
              <w:rPr>
                <w:i/>
                <w:iCs/>
                <w:color w:val="1A1A1A"/>
                <w:sz w:val="17"/>
                <w:szCs w:val="17"/>
              </w:rPr>
              <w:t xml:space="preserve">For score 5 (AND): ensure at least one Board-level body AND at least one executive-level body are named with distinct, non-overlapping topic responsibilities. Expand topic coverage to reflect the full scope of what each body </w:t>
            </w:r>
            <w:proofErr w:type="gramStart"/>
            <w:r>
              <w:rPr>
                <w:i/>
                <w:iCs/>
                <w:color w:val="1A1A1A"/>
                <w:sz w:val="17"/>
                <w:szCs w:val="17"/>
              </w:rPr>
              <w:t>actually oversees</w:t>
            </w:r>
            <w:proofErr w:type="gramEnd"/>
            <w:r>
              <w:rPr>
                <w:i/>
                <w:iCs/>
                <w:color w:val="1A1A1A"/>
                <w:sz w:val="17"/>
                <w:szCs w:val="17"/>
              </w:rPr>
              <w:t>.</w:t>
            </w:r>
          </w:p>
        </w:tc>
      </w:tr>
      <w:tr w:rsidR="00293867" w14:paraId="1EF3DF44"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E32D521" w14:textId="77777777" w:rsidR="00293867" w:rsidRDefault="001B3773">
            <w:pPr>
              <w:spacing w:before="20" w:after="20"/>
              <w:jc w:val="center"/>
            </w:pPr>
            <w:r>
              <w:rPr>
                <w:b/>
                <w:bCs/>
                <w:color w:val="1A1A1A"/>
                <w:sz w:val="17"/>
                <w:szCs w:val="17"/>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2E97A2" w14:textId="77777777" w:rsidR="00293867" w:rsidRDefault="001B377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8941E47" w14:textId="77777777" w:rsidR="00293867" w:rsidRDefault="001B377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F7E2F96" w14:textId="77777777" w:rsidR="00293867" w:rsidRDefault="001B3773">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C8DB8A1" w14:textId="77777777" w:rsidR="00293867" w:rsidRDefault="001B3773">
            <w:pPr>
              <w:spacing w:before="20" w:after="20"/>
            </w:pPr>
            <w:r>
              <w:rPr>
                <w:color w:val="1A1A1A"/>
                <w:sz w:val="18"/>
                <w:szCs w:val="18"/>
              </w:rPr>
              <w:t>AND across Q1.1 columns 1–3: at least two oversight bodies are named covering both Board-level and executive-level types (e.g., a Board committee AND an executive committee or executive role). Each body has a clear type selected AND a substantive set of workforce/HR topics that reflects the genuine breadth of what that body oversees. The overall topic coverage across all bodies is broad — spanning at least 5 distinct topic areas from the dropdown.</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118E87F1" w14:textId="77777777" w:rsidR="00293867" w:rsidRDefault="001B3773">
            <w:pPr>
              <w:spacing w:before="20" w:after="20"/>
            </w:pPr>
            <w:r>
              <w:rPr>
                <w:i/>
                <w:iCs/>
                <w:color w:val="1A1A1A"/>
                <w:sz w:val="17"/>
                <w:szCs w:val="17"/>
              </w:rPr>
              <w:t>Highest level achieved for Awareness. Ensure governance body descriptions (column 4 Approach) and information flow (Q1.2 Approach) are equally comprehensive.</w:t>
            </w:r>
          </w:p>
        </w:tc>
      </w:tr>
      <w:tr w:rsidR="00293867" w14:paraId="52BD13E6"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C50080F" w14:textId="77777777" w:rsidR="00293867" w:rsidRDefault="001B3773">
            <w:pPr>
              <w:spacing w:before="20" w:after="20"/>
              <w:jc w:val="center"/>
            </w:pPr>
            <w:r>
              <w:rPr>
                <w:b/>
                <w:bCs/>
                <w:color w:val="1A1A1A"/>
                <w:sz w:val="17"/>
                <w:szCs w:val="17"/>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293867" w:rsidRDefault="001B377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22F001" w14:textId="77777777" w:rsidR="00293867" w:rsidRDefault="001B377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293867" w:rsidRDefault="001B3773">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76BF64F" w14:textId="77777777" w:rsidR="00293867" w:rsidRDefault="001B3773">
            <w:pPr>
              <w:spacing w:before="20" w:after="20"/>
            </w:pPr>
            <w:r>
              <w:rPr>
                <w:color w:val="1A1A1A"/>
                <w:sz w:val="18"/>
                <w:szCs w:val="18"/>
              </w:rPr>
              <w:t>AND across both sources: Q1.1 description column (column 4) is blank for all rows AND Q1.2 is blank. No governance process information provided from either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21EDB3A" w14:textId="77777777" w:rsidR="00293867" w:rsidRDefault="001B3773">
            <w:pPr>
              <w:spacing w:before="20" w:after="20"/>
            </w:pPr>
            <w:r>
              <w:rPr>
                <w:i/>
                <w:iCs/>
                <w:color w:val="1A1A1A"/>
                <w:sz w:val="17"/>
                <w:szCs w:val="17"/>
              </w:rPr>
              <w:t xml:space="preserve">In Q1.1’s description column, describe how at least one oversight body operates in practice — what it reviews, how often it meets, and whether issues can be escalated. Then complete Q1.2 with </w:t>
            </w:r>
            <w:proofErr w:type="spellStart"/>
            <w:r>
              <w:rPr>
                <w:i/>
                <w:iCs/>
                <w:color w:val="1A1A1A"/>
                <w:sz w:val="17"/>
                <w:szCs w:val="17"/>
              </w:rPr>
              <w:t>at</w:t>
            </w:r>
            <w:proofErr w:type="spellEnd"/>
            <w:r>
              <w:rPr>
                <w:i/>
                <w:iCs/>
                <w:color w:val="1A1A1A"/>
                <w:sz w:val="17"/>
                <w:szCs w:val="17"/>
              </w:rPr>
              <w:t xml:space="preserve"> minimum a description of what workforce information is provided to governance bodies.</w:t>
            </w:r>
          </w:p>
        </w:tc>
      </w:tr>
      <w:tr w:rsidR="00293867" w14:paraId="19030695"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50B3AD0" w14:textId="77777777" w:rsidR="00293867" w:rsidRDefault="001B3773">
            <w:pPr>
              <w:spacing w:before="20" w:after="20"/>
              <w:jc w:val="center"/>
            </w:pPr>
            <w:r>
              <w:rPr>
                <w:b/>
                <w:bCs/>
                <w:color w:val="1A1A1A"/>
                <w:sz w:val="17"/>
                <w:szCs w:val="17"/>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A9E233" w14:textId="77777777" w:rsidR="00293867" w:rsidRDefault="001B377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B965A47" w14:textId="77777777" w:rsidR="00293867" w:rsidRDefault="001B377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4A5002" w14:textId="77777777" w:rsidR="00293867" w:rsidRDefault="001B3773">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B9D2AA8" w14:textId="77777777" w:rsidR="00293867" w:rsidRDefault="001B3773">
            <w:pPr>
              <w:spacing w:before="20" w:after="20"/>
            </w:pPr>
            <w:r>
              <w:rPr>
                <w:color w:val="1A1A1A"/>
                <w:sz w:val="18"/>
                <w:szCs w:val="18"/>
              </w:rPr>
              <w:t>OR across sources: Q1.1’s description column has a brief entry for at least one body (e.g., ‘the Board reviews workforce matters annually’) without describing what is reviewed, how, or what escalation mechanisms exist; OR Q1.2 mentions that workforce information is provided to governance bodies without describing what information, which forums, or how frequently. Some governance process signal exists but is underdeveloped.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33E9CFE" w14:textId="77777777" w:rsidR="00293867" w:rsidRDefault="001B3773">
            <w:pPr>
              <w:spacing w:before="20" w:after="20"/>
            </w:pPr>
            <w:r>
              <w:rPr>
                <w:i/>
                <w:iCs/>
                <w:color w:val="1A1A1A"/>
                <w:sz w:val="17"/>
                <w:szCs w:val="17"/>
              </w:rPr>
              <w:t xml:space="preserve">In Q1.1 descriptions, </w:t>
            </w:r>
            <w:proofErr w:type="gramStart"/>
            <w:r>
              <w:rPr>
                <w:i/>
                <w:iCs/>
                <w:color w:val="1A1A1A"/>
                <w:sz w:val="17"/>
                <w:szCs w:val="17"/>
              </w:rPr>
              <w:t>add:</w:t>
            </w:r>
            <w:proofErr w:type="gramEnd"/>
            <w:r>
              <w:rPr>
                <w:i/>
                <w:iCs/>
                <w:color w:val="1A1A1A"/>
                <w:sz w:val="17"/>
                <w:szCs w:val="17"/>
              </w:rPr>
              <w:t xml:space="preserve"> what specific information or metrics each body reviews, how often it reviews them, and how concerns or risks can be escalated. In Q1.2, name the specific information types provided (e.g., </w:t>
            </w:r>
            <w:proofErr w:type="spellStart"/>
            <w:r>
              <w:rPr>
                <w:i/>
                <w:iCs/>
                <w:color w:val="1A1A1A"/>
                <w:sz w:val="17"/>
                <w:szCs w:val="17"/>
              </w:rPr>
              <w:t>labour</w:t>
            </w:r>
            <w:proofErr w:type="spellEnd"/>
            <w:r>
              <w:rPr>
                <w:i/>
                <w:iCs/>
                <w:color w:val="1A1A1A"/>
                <w:sz w:val="17"/>
                <w:szCs w:val="17"/>
              </w:rPr>
              <w:t xml:space="preserve"> rights risk assessments, turnover data, safety KPIs) and the relevant governance forums.</w:t>
            </w:r>
          </w:p>
        </w:tc>
      </w:tr>
      <w:tr w:rsidR="00293867" w14:paraId="4961A605"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11F3AB7" w14:textId="77777777" w:rsidR="00293867" w:rsidRDefault="001B3773">
            <w:pPr>
              <w:spacing w:before="20" w:after="20"/>
              <w:jc w:val="center"/>
            </w:pPr>
            <w:r>
              <w:rPr>
                <w:b/>
                <w:bCs/>
                <w:color w:val="1A1A1A"/>
                <w:sz w:val="17"/>
                <w:szCs w:val="17"/>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293867" w:rsidRDefault="001B377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144751B" w14:textId="77777777" w:rsidR="00293867" w:rsidRDefault="001B3773">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467F2F" w14:textId="77777777" w:rsidR="00293867" w:rsidRDefault="001B3773">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F04B2E5" w14:textId="77777777" w:rsidR="00293867" w:rsidRDefault="001B3773">
            <w:pPr>
              <w:spacing w:before="20" w:after="20"/>
            </w:pPr>
            <w:r>
              <w:rPr>
                <w:color w:val="1A1A1A"/>
                <w:sz w:val="18"/>
                <w:szCs w:val="18"/>
              </w:rPr>
              <w:t>OR across sources: Q1.1 descriptions address how at least one body operates (what it reviews and frequency) but without escalation or follow-up process; OR Q1.2 describes what information is provided and which forums receive it, but without stating the frequency of review or how the information informs strategic planning. One source reasonably addressed, the other thin.</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972E90F" w14:textId="77777777" w:rsidR="00293867" w:rsidRDefault="001B3773">
            <w:pPr>
              <w:spacing w:before="20" w:after="20"/>
            </w:pPr>
            <w:r>
              <w:rPr>
                <w:i/>
                <w:iCs/>
                <w:color w:val="1A1A1A"/>
                <w:sz w:val="17"/>
                <w:szCs w:val="17"/>
              </w:rPr>
              <w:t xml:space="preserve">In Q1.1 descriptions, add the escalation and follow-up process for each body — how workforce risks are escalated and what happens after review. In Q1.2, </w:t>
            </w:r>
            <w:proofErr w:type="gramStart"/>
            <w:r>
              <w:rPr>
                <w:i/>
                <w:iCs/>
                <w:color w:val="1A1A1A"/>
                <w:sz w:val="17"/>
                <w:szCs w:val="17"/>
              </w:rPr>
              <w:t>add:</w:t>
            </w:r>
            <w:proofErr w:type="gramEnd"/>
            <w:r>
              <w:rPr>
                <w:i/>
                <w:iCs/>
                <w:color w:val="1A1A1A"/>
                <w:sz w:val="17"/>
                <w:szCs w:val="17"/>
              </w:rPr>
              <w:t xml:space="preserve"> how frequently governance bodies review this information AND how it is used to inform governance decisions and company strategic planning on workforce matters.</w:t>
            </w:r>
          </w:p>
        </w:tc>
      </w:tr>
      <w:tr w:rsidR="00293867" w14:paraId="17572947"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9507054" w14:textId="77777777" w:rsidR="00293867" w:rsidRDefault="001B3773">
            <w:pPr>
              <w:spacing w:before="20" w:after="20"/>
              <w:jc w:val="center"/>
            </w:pPr>
            <w:r>
              <w:rPr>
                <w:b/>
                <w:bCs/>
                <w:color w:val="1A1A1A"/>
                <w:sz w:val="17"/>
                <w:szCs w:val="17"/>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3B9460B" w14:textId="77777777" w:rsidR="00293867" w:rsidRDefault="001B377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B778152" w14:textId="77777777" w:rsidR="00293867" w:rsidRDefault="001B377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3B13D" w14:textId="77777777" w:rsidR="00293867" w:rsidRDefault="001B3773">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35E3A3B" w14:textId="77777777" w:rsidR="00293867" w:rsidRDefault="001B3773">
            <w:pPr>
              <w:spacing w:before="20" w:after="20"/>
            </w:pPr>
            <w:r>
              <w:rPr>
                <w:color w:val="1A1A1A"/>
                <w:sz w:val="18"/>
                <w:szCs w:val="18"/>
              </w:rPr>
              <w:t xml:space="preserve">OR across sources: Q1.1 descriptions address how at least one body operates in </w:t>
            </w:r>
            <w:r>
              <w:rPr>
                <w:color w:val="1A1A1A"/>
                <w:sz w:val="18"/>
                <w:szCs w:val="18"/>
              </w:rPr>
              <w:lastRenderedPageBreak/>
              <w:t>practice — including what it reviews AND frequency AND at least one of: escalation or follow-up process; OR Q1.2 addresses at least three of the four G1 elements (information content, governance forums, frequency, strategic planning use). Strength in one source reaching this level, with the other at score 1 minimum.</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0D68640" w14:textId="77777777" w:rsidR="00293867" w:rsidRDefault="001B3773">
            <w:pPr>
              <w:spacing w:before="20" w:after="20"/>
            </w:pPr>
            <w:r>
              <w:rPr>
                <w:i/>
                <w:iCs/>
                <w:color w:val="1A1A1A"/>
                <w:sz w:val="17"/>
                <w:szCs w:val="17"/>
              </w:rPr>
              <w:lastRenderedPageBreak/>
              <w:t xml:space="preserve">For score 5 (AND): Q1.1 descriptions must address </w:t>
            </w:r>
            <w:r>
              <w:rPr>
                <w:i/>
                <w:iCs/>
                <w:color w:val="1A1A1A"/>
                <w:sz w:val="17"/>
                <w:szCs w:val="17"/>
              </w:rPr>
              <w:lastRenderedPageBreak/>
              <w:t>review, monitoring, escalation, and follow-up for each named body AND Q1.2 must address all four G1 elements: information types provided, governance forums, frequency of review, and how this informs strategic planning and governance decisions.</w:t>
            </w:r>
          </w:p>
        </w:tc>
      </w:tr>
      <w:tr w:rsidR="00293867" w14:paraId="6D167B60" w14:textId="77777777" w:rsidTr="6C706155">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295336A" w14:textId="77777777" w:rsidR="00293867" w:rsidRDefault="001B3773">
            <w:pPr>
              <w:spacing w:before="20" w:after="20"/>
              <w:jc w:val="center"/>
            </w:pPr>
            <w:r>
              <w:rPr>
                <w:b/>
                <w:bCs/>
                <w:color w:val="1A1A1A"/>
                <w:sz w:val="17"/>
                <w:szCs w:val="17"/>
              </w:rPr>
              <w:lastRenderedPageBreak/>
              <w:t>1</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999CD79" w14:textId="77777777" w:rsidR="00293867" w:rsidRDefault="001B377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240AAE" w14:textId="77777777" w:rsidR="00293867" w:rsidRDefault="001B377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89582DC" w14:textId="77777777" w:rsidR="00293867" w:rsidRDefault="001B3773">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034B6DC" w14:textId="77777777" w:rsidR="00293867" w:rsidRDefault="001B3773">
            <w:pPr>
              <w:spacing w:before="20" w:after="20"/>
            </w:pPr>
            <w:r>
              <w:rPr>
                <w:color w:val="1A1A1A"/>
                <w:sz w:val="18"/>
                <w:szCs w:val="18"/>
              </w:rPr>
              <w:t xml:space="preserve">AND across both sources: Q1.1 description column must address, for each named oversight body, how that body oversees workforce and HR topics in practice — including: (1) what it reviews or receives; (2) the monitoring process; (3) the escalation mechanism; (4) follow-up processes. Q1.2 must address all four G1 elements: (1) the workforce-related information provided to those with governance responsibility (including </w:t>
            </w:r>
            <w:proofErr w:type="spellStart"/>
            <w:r>
              <w:rPr>
                <w:color w:val="1A1A1A"/>
                <w:sz w:val="18"/>
                <w:szCs w:val="18"/>
              </w:rPr>
              <w:t>labour</w:t>
            </w:r>
            <w:proofErr w:type="spellEnd"/>
            <w:r>
              <w:rPr>
                <w:color w:val="1A1A1A"/>
                <w:sz w:val="18"/>
                <w:szCs w:val="18"/>
              </w:rPr>
              <w:t xml:space="preserve"> rights risks, opportunities, performance, and progress against targets); (2) the relevant governance forums through which this information is considered; (3) the frequency with which those forums review or discuss this information; (4) how this information is used to inform governance decisions and company strategic planning on workforce matters.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4BB3820" w14:textId="77777777" w:rsidR="00293867" w:rsidRDefault="001B3773">
            <w:pPr>
              <w:spacing w:before="20" w:after="20"/>
            </w:pPr>
            <w:r>
              <w:rPr>
                <w:i/>
                <w:iCs/>
                <w:color w:val="1A1A1A"/>
                <w:sz w:val="17"/>
                <w:szCs w:val="17"/>
              </w:rPr>
              <w:t>Highest level achieved. Maintain comprehensive governance process documentation and update as oversight structures evolve.</w:t>
            </w:r>
          </w:p>
        </w:tc>
      </w:tr>
    </w:tbl>
    <w:p w14:paraId="02EB378F" w14:textId="77777777" w:rsidR="00293867" w:rsidRDefault="00293867">
      <w:pPr>
        <w:pBdr>
          <w:bottom w:val="single" w:sz="4" w:space="1" w:color="D9D9D9"/>
        </w:pBdr>
        <w:spacing w:before="240" w:after="240"/>
      </w:pPr>
    </w:p>
    <w:p w14:paraId="0BD2FA26" w14:textId="77777777" w:rsidR="00293867" w:rsidRDefault="001B3773">
      <w:pPr>
        <w:pStyle w:val="Heading1"/>
        <w:spacing w:before="360" w:after="160"/>
      </w:pPr>
      <w:r>
        <w:rPr>
          <w:b/>
          <w:bCs/>
          <w:color w:val="1F3864"/>
          <w:sz w:val="34"/>
          <w:szCs w:val="34"/>
        </w:rPr>
        <w:t>4. Score Calculation</w:t>
      </w:r>
    </w:p>
    <w:p w14:paraId="19BBAD10" w14:textId="77777777" w:rsidR="00293867" w:rsidRDefault="001B3773">
      <w:pPr>
        <w:spacing w:before="80" w:after="80"/>
      </w:pPr>
      <w:r>
        <w:rPr>
          <w:color w:val="1A1A1A"/>
        </w:rPr>
        <w:t>Once Awareness and Approach sub-scores are assigned, the composite topic score is calculated using equal weighting across the two dimensions.</w:t>
      </w:r>
    </w:p>
    <w:p w14:paraId="65FFD978" w14:textId="77777777" w:rsidR="00293867" w:rsidRDefault="001B3773">
      <w:pPr>
        <w:pStyle w:val="Heading2"/>
        <w:spacing w:before="280" w:after="120"/>
      </w:pPr>
      <w:proofErr w:type="gramStart"/>
      <w:r>
        <w:rPr>
          <w:b/>
          <w:bCs/>
          <w:color w:val="2E75B6"/>
        </w:rPr>
        <w:t>4.1  Formulas</w:t>
      </w:r>
      <w:proofErr w:type="gramEnd"/>
    </w:p>
    <w:p w14:paraId="6D88E47F" w14:textId="77777777" w:rsidR="00293867" w:rsidRDefault="001B3773">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2</w:t>
      </w:r>
    </w:p>
    <w:p w14:paraId="3FCA8DB3" w14:textId="77777777" w:rsidR="00293867" w:rsidRDefault="001B3773">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77676A2B" w14:textId="77777777" w:rsidR="00293867" w:rsidRDefault="001B3773">
      <w:pPr>
        <w:spacing w:before="80" w:after="60"/>
      </w:pPr>
      <w:r>
        <w:rPr>
          <w:i/>
          <w:iCs/>
          <w:color w:val="666666"/>
          <w:sz w:val="17"/>
          <w:szCs w:val="17"/>
        </w:rPr>
        <w:t>All reported topic scores are on the 0–100 scale. Each dimension carries equal weight (50%). No Action dimension. Both questions are always applicable.</w:t>
      </w:r>
    </w:p>
    <w:p w14:paraId="71DEDFB3" w14:textId="77777777" w:rsidR="00293867" w:rsidRDefault="001B3773">
      <w:pPr>
        <w:pStyle w:val="Heading2"/>
        <w:spacing w:before="280" w:after="120"/>
      </w:pPr>
      <w:proofErr w:type="gramStart"/>
      <w:r>
        <w:rPr>
          <w:b/>
          <w:bCs/>
          <w:color w:val="2E75B6"/>
        </w:rPr>
        <w:t>4.2  Worked</w:t>
      </w:r>
      <w:proofErr w:type="gramEnd"/>
      <w:r>
        <w:rPr>
          <w:b/>
          <w:bCs/>
          <w:color w:val="2E75B6"/>
        </w:rPr>
        <w:t xml:space="preserve"> Examples</w:t>
      </w:r>
    </w:p>
    <w:p w14:paraId="24E71782" w14:textId="77777777" w:rsidR="00293867" w:rsidRDefault="001B3773">
      <w:pPr>
        <w:spacing w:before="80" w:after="80"/>
      </w:pPr>
      <w:r>
        <w:rPr>
          <w:b/>
          <w:bCs/>
          <w:color w:val="2E75B6"/>
        </w:rPr>
        <w:t>Example A: Comprehensive Board and executive governance structure</w:t>
      </w:r>
    </w:p>
    <w:p w14:paraId="60CBDD63" w14:textId="77777777" w:rsidR="00293867" w:rsidRDefault="001B3773">
      <w:pPr>
        <w:spacing w:before="80" w:after="80"/>
      </w:pPr>
      <w:r>
        <w:rPr>
          <w:color w:val="1A1A1A"/>
          <w:sz w:val="19"/>
          <w:szCs w:val="19"/>
        </w:rPr>
        <w:t xml:space="preserve">Q1.1: Row 1 — Body: Remuneration and People Committee. Type: Board committee or equivalent. Topics: Attracting and retaining workers, Diversity, Health safety and wellbeing, Wages and pay, Workforce planning, Training and development, Automation and AI. Description: “The Remuneration and People Committee meets quarterly and receives a standing workforce dashboard </w:t>
      </w:r>
      <w:proofErr w:type="gramStart"/>
      <w:r>
        <w:rPr>
          <w:color w:val="1A1A1A"/>
          <w:sz w:val="19"/>
          <w:szCs w:val="19"/>
        </w:rPr>
        <w:t>including:</w:t>
      </w:r>
      <w:proofErr w:type="gramEnd"/>
      <w:r>
        <w:rPr>
          <w:color w:val="1A1A1A"/>
          <w:sz w:val="19"/>
          <w:szCs w:val="19"/>
        </w:rPr>
        <w:t xml:space="preserve"> voluntary turnover rates by region, engagement survey scores, H&amp;S injury rates, and gender pay gap data. The Committee reviews and approves the annual Workforce Strategy. Risk escalation: the Head of HR must bring any material workforce risk (defined as affecting &gt;500 employees or carrying reputational exposure) to the Committee Chair within 48 hours. Follow-up: all actions agreed at each meeting are tracked in a rolling log, reviewed at the subsequent meeting.” Row 2 — Body: Group Chief People Officer. Type: Executive member or </w:t>
      </w:r>
      <w:r>
        <w:rPr>
          <w:color w:val="1A1A1A"/>
          <w:sz w:val="19"/>
          <w:szCs w:val="19"/>
        </w:rPr>
        <w:lastRenderedPageBreak/>
        <w:t xml:space="preserve">equivalent. Topics: </w:t>
      </w:r>
      <w:proofErr w:type="spellStart"/>
      <w:r>
        <w:rPr>
          <w:color w:val="1A1A1A"/>
          <w:sz w:val="19"/>
          <w:szCs w:val="19"/>
        </w:rPr>
        <w:t>Labour</w:t>
      </w:r>
      <w:proofErr w:type="spellEnd"/>
      <w:r>
        <w:rPr>
          <w:color w:val="1A1A1A"/>
          <w:sz w:val="19"/>
          <w:szCs w:val="19"/>
        </w:rPr>
        <w:t xml:space="preserve"> rights, Modern slavery and forced </w:t>
      </w:r>
      <w:proofErr w:type="spellStart"/>
      <w:r>
        <w:rPr>
          <w:color w:val="1A1A1A"/>
          <w:sz w:val="19"/>
          <w:szCs w:val="19"/>
        </w:rPr>
        <w:t>labour</w:t>
      </w:r>
      <w:proofErr w:type="spellEnd"/>
      <w:r>
        <w:rPr>
          <w:color w:val="1A1A1A"/>
          <w:sz w:val="19"/>
          <w:szCs w:val="19"/>
        </w:rPr>
        <w:t xml:space="preserve">, Freedom of association, Grievance mechanisms, Supply chain </w:t>
      </w:r>
      <w:proofErr w:type="spellStart"/>
      <w:r>
        <w:rPr>
          <w:color w:val="1A1A1A"/>
          <w:sz w:val="19"/>
          <w:szCs w:val="19"/>
        </w:rPr>
        <w:t>labour</w:t>
      </w:r>
      <w:proofErr w:type="spellEnd"/>
      <w:r>
        <w:rPr>
          <w:color w:val="1A1A1A"/>
          <w:sz w:val="19"/>
          <w:szCs w:val="19"/>
        </w:rPr>
        <w:t xml:space="preserve"> standards. Description: “The CPO holds executive accountability for all workforce and </w:t>
      </w:r>
      <w:proofErr w:type="spellStart"/>
      <w:r>
        <w:rPr>
          <w:color w:val="1A1A1A"/>
          <w:sz w:val="19"/>
          <w:szCs w:val="19"/>
        </w:rPr>
        <w:t>labour</w:t>
      </w:r>
      <w:proofErr w:type="spellEnd"/>
      <w:r>
        <w:rPr>
          <w:color w:val="1A1A1A"/>
          <w:sz w:val="19"/>
          <w:szCs w:val="19"/>
        </w:rPr>
        <w:t xml:space="preserve"> rights matters in direct operations and the value chain. Monthly reviews with the sustainability team cover supply chain </w:t>
      </w:r>
      <w:proofErr w:type="spellStart"/>
      <w:r>
        <w:rPr>
          <w:color w:val="1A1A1A"/>
          <w:sz w:val="19"/>
          <w:szCs w:val="19"/>
        </w:rPr>
        <w:t>labour</w:t>
      </w:r>
      <w:proofErr w:type="spellEnd"/>
      <w:r>
        <w:rPr>
          <w:color w:val="1A1A1A"/>
          <w:sz w:val="19"/>
          <w:szCs w:val="19"/>
        </w:rPr>
        <w:t xml:space="preserve"> risk indicators and grievance data. Escalation to the CEO for any Tier 1 forced </w:t>
      </w:r>
      <w:proofErr w:type="spellStart"/>
      <w:r>
        <w:rPr>
          <w:color w:val="1A1A1A"/>
          <w:sz w:val="19"/>
          <w:szCs w:val="19"/>
        </w:rPr>
        <w:t>labour</w:t>
      </w:r>
      <w:proofErr w:type="spellEnd"/>
      <w:r>
        <w:rPr>
          <w:color w:val="1A1A1A"/>
          <w:sz w:val="19"/>
          <w:szCs w:val="19"/>
        </w:rPr>
        <w:t xml:space="preserve"> incident. Findings reported to the Board annually.”</w:t>
      </w:r>
    </w:p>
    <w:p w14:paraId="74DE2241" w14:textId="77777777" w:rsidR="00293867" w:rsidRDefault="001B3773">
      <w:pPr>
        <w:spacing w:before="80" w:after="80"/>
      </w:pPr>
      <w:r>
        <w:rPr>
          <w:color w:val="1A1A1A"/>
          <w:sz w:val="19"/>
          <w:szCs w:val="19"/>
        </w:rPr>
        <w:t xml:space="preserve">Q1.2: “The People Committee receives a quarterly workforce dashboard (compiled by HR Analytics) </w:t>
      </w:r>
      <w:proofErr w:type="gramStart"/>
      <w:r>
        <w:rPr>
          <w:color w:val="1A1A1A"/>
          <w:sz w:val="19"/>
          <w:szCs w:val="19"/>
        </w:rPr>
        <w:t>covering:</w:t>
      </w:r>
      <w:proofErr w:type="gramEnd"/>
      <w:r>
        <w:rPr>
          <w:color w:val="1A1A1A"/>
          <w:sz w:val="19"/>
          <w:szCs w:val="19"/>
        </w:rPr>
        <w:t xml:space="preserve"> voluntary turnover by region and function, engagement scores (from our biannual survey), H&amp;S metrics (LTI rate, near-miss rate), gender pay gap, and ethnicity pay gap. This information is also tabled at Group Executive Committee meetings quarterly for strategic discussion. The Board reviews an annual workforce summary at its September strategy session, at which workforce risks and talent pipeline data inform the 3-year operating plan. In 2024, Board review of turnover data in our logistics function prompted a strategic decision to increase base wages by 6% in that function, effective Q1 2025.”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293867" w14:paraId="34392AC8" w14:textId="77777777">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293867" w:rsidRDefault="001B3773">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293867" w:rsidRDefault="001B3773">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293867" w:rsidRDefault="001B3773">
            <w:pPr>
              <w:jc w:val="center"/>
            </w:pPr>
            <w:r>
              <w:rPr>
                <w:b/>
                <w:bCs/>
                <w:color w:val="FFFFFF"/>
                <w:sz w:val="16"/>
                <w:szCs w:val="16"/>
              </w:rPr>
              <w:t>Calculation</w:t>
            </w:r>
          </w:p>
        </w:tc>
      </w:tr>
      <w:tr w:rsidR="00293867" w14:paraId="1C4DAD0A" w14:textId="77777777">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293867" w:rsidRDefault="001B3773">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5E053B3" w14:textId="77777777" w:rsidR="00293867" w:rsidRDefault="001B3773">
            <w:pPr>
              <w:spacing w:before="20" w:after="20"/>
            </w:pPr>
            <w:r>
              <w:rPr>
                <w:color w:val="1A1A1A"/>
                <w:sz w:val="18"/>
                <w:szCs w:val="18"/>
              </w:rPr>
              <w:t>5 (</w:t>
            </w:r>
            <w:proofErr w:type="gramStart"/>
            <w:r>
              <w:rPr>
                <w:color w:val="1A1A1A"/>
                <w:sz w:val="18"/>
                <w:szCs w:val="18"/>
              </w:rPr>
              <w:t>Leading) —</w:t>
            </w:r>
            <w:proofErr w:type="gramEnd"/>
            <w:r>
              <w:rPr>
                <w:color w:val="1A1A1A"/>
                <w:sz w:val="18"/>
                <w:szCs w:val="18"/>
              </w:rPr>
              <w:t xml:space="preserve"> AND satisfied: two bodies named (Board committee AND executive member), both with types selected. Seven topics for Row 1 and five distinct topics for Row 2 — total breadth across 10+ distinct topic areas. </w:t>
            </w:r>
            <w:proofErr w:type="gramStart"/>
            <w:r>
              <w:rPr>
                <w:color w:val="1A1A1A"/>
                <w:sz w:val="18"/>
                <w:szCs w:val="18"/>
              </w:rPr>
              <w:t>Board-level</w:t>
            </w:r>
            <w:proofErr w:type="gramEnd"/>
            <w:r>
              <w:rPr>
                <w:color w:val="1A1A1A"/>
                <w:sz w:val="18"/>
                <w:szCs w:val="18"/>
              </w:rPr>
              <w:t xml:space="preserve"> and </w:t>
            </w:r>
            <w:proofErr w:type="gramStart"/>
            <w:r>
              <w:rPr>
                <w:color w:val="1A1A1A"/>
                <w:sz w:val="18"/>
                <w:szCs w:val="18"/>
              </w:rPr>
              <w:t>executive-level</w:t>
            </w:r>
            <w:proofErr w:type="gramEnd"/>
            <w:r>
              <w:rPr>
                <w:color w:val="1A1A1A"/>
                <w:sz w:val="18"/>
                <w:szCs w:val="18"/>
              </w:rPr>
              <w:t xml:space="preserve"> both represented.</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293867" w:rsidRDefault="00293867">
            <w:pPr>
              <w:spacing w:before="20" w:after="20"/>
            </w:pPr>
          </w:p>
        </w:tc>
      </w:tr>
      <w:tr w:rsidR="00293867" w14:paraId="3A994861" w14:textId="77777777">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E8193" w14:textId="77777777" w:rsidR="00293867" w:rsidRDefault="001B3773">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689D2" w14:textId="77777777" w:rsidR="00293867" w:rsidRDefault="001B3773">
            <w:pPr>
              <w:spacing w:before="20" w:after="20"/>
            </w:pPr>
            <w:r>
              <w:rPr>
                <w:color w:val="1A1A1A"/>
                <w:sz w:val="18"/>
                <w:szCs w:val="18"/>
              </w:rPr>
              <w:t xml:space="preserve">5 (Leading) — AND satisfied: Q1.1 descriptions address all four elements for both bodies: (1) what is reviewed (workforce dashboard, </w:t>
            </w:r>
            <w:proofErr w:type="spellStart"/>
            <w:r>
              <w:rPr>
                <w:color w:val="1A1A1A"/>
                <w:sz w:val="18"/>
                <w:szCs w:val="18"/>
              </w:rPr>
              <w:t>labour</w:t>
            </w:r>
            <w:proofErr w:type="spellEnd"/>
            <w:r>
              <w:rPr>
                <w:color w:val="1A1A1A"/>
                <w:sz w:val="18"/>
                <w:szCs w:val="18"/>
              </w:rPr>
              <w:t xml:space="preserve"> risk indicators); (2) monitoring process (quarterly standing agenda, monthly reviews); (3) escalation (48-hour material risk escalation for Committee, CEO escalation for forced </w:t>
            </w:r>
            <w:proofErr w:type="spellStart"/>
            <w:r>
              <w:rPr>
                <w:color w:val="1A1A1A"/>
                <w:sz w:val="18"/>
                <w:szCs w:val="18"/>
              </w:rPr>
              <w:t>labour</w:t>
            </w:r>
            <w:proofErr w:type="spellEnd"/>
            <w:r>
              <w:rPr>
                <w:color w:val="1A1A1A"/>
                <w:sz w:val="18"/>
                <w:szCs w:val="18"/>
              </w:rPr>
              <w:t>); (4) follow-up (rolling action log). Q1.2 addresses all four G1 elements: information content (turnover, engagement, H&amp;S, pay gap data), forums (People Committee, Group Exec, Board), frequency (quarterly + annual Board review), strategic planning use (2024 logistics wage decision traced directly to Board workforce data review).</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A39BBE3" w14:textId="77777777" w:rsidR="00293867" w:rsidRDefault="00293867">
            <w:pPr>
              <w:spacing w:before="20" w:after="20"/>
            </w:pPr>
          </w:p>
        </w:tc>
      </w:tr>
      <w:tr w:rsidR="00293867" w14:paraId="766EFA3A" w14:textId="77777777">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293867" w:rsidRDefault="001B3773">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66B2543" w14:textId="77777777" w:rsidR="00293867" w:rsidRDefault="001B3773">
            <w:pPr>
              <w:spacing w:before="20" w:after="20"/>
            </w:pPr>
            <w:r>
              <w:rPr>
                <w:b/>
                <w:bCs/>
                <w:color w:val="1A1A1A"/>
                <w:sz w:val="19"/>
                <w:szCs w:val="19"/>
              </w:rPr>
              <w:t>(5 + 5) ÷ 2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293867" w:rsidRDefault="001B3773">
            <w:pPr>
              <w:spacing w:before="20" w:after="20"/>
            </w:pPr>
            <w:r>
              <w:rPr>
                <w:b/>
                <w:bCs/>
                <w:color w:val="1A1A1A"/>
                <w:sz w:val="19"/>
                <w:szCs w:val="19"/>
              </w:rPr>
              <w:t>Topic Score = 5.00 × 20 = 100 / 100</w:t>
            </w:r>
          </w:p>
        </w:tc>
      </w:tr>
    </w:tbl>
    <w:p w14:paraId="2981D0CB" w14:textId="77777777" w:rsidR="00293867" w:rsidRDefault="001B3773">
      <w:pPr>
        <w:spacing w:before="80" w:after="60"/>
      </w:pPr>
      <w:r>
        <w:rPr>
          <w:i/>
          <w:iCs/>
          <w:color w:val="666666"/>
          <w:sz w:val="17"/>
          <w:szCs w:val="17"/>
        </w:rPr>
        <w:t xml:space="preserve">Full marks. The Q1.2 example is particularly strong because it traces a specific governance decision (6% </w:t>
      </w:r>
      <w:proofErr w:type="gramStart"/>
      <w:r>
        <w:rPr>
          <w:i/>
          <w:iCs/>
          <w:color w:val="666666"/>
          <w:sz w:val="17"/>
          <w:szCs w:val="17"/>
        </w:rPr>
        <w:t>logistics wage increase</w:t>
      </w:r>
      <w:proofErr w:type="gramEnd"/>
      <w:r>
        <w:rPr>
          <w:i/>
          <w:iCs/>
          <w:color w:val="666666"/>
          <w:sz w:val="17"/>
          <w:szCs w:val="17"/>
        </w:rPr>
        <w:t>) directly back to Board review of workforce data — this is the strategic planning use element at its most concrete.</w:t>
      </w:r>
    </w:p>
    <w:p w14:paraId="0F443AB8" w14:textId="77777777" w:rsidR="00293867" w:rsidRDefault="001B3773">
      <w:pPr>
        <w:spacing w:before="240" w:after="80"/>
      </w:pPr>
      <w:r>
        <w:rPr>
          <w:b/>
          <w:bCs/>
          <w:color w:val="2E75B6"/>
        </w:rPr>
        <w:t>Example B: Thin governance structure, process not described</w:t>
      </w:r>
    </w:p>
    <w:p w14:paraId="450472C5" w14:textId="77777777" w:rsidR="00293867" w:rsidRDefault="001B3773">
      <w:pPr>
        <w:spacing w:before="80" w:after="80"/>
      </w:pPr>
      <w:r>
        <w:rPr>
          <w:color w:val="1A1A1A"/>
          <w:sz w:val="19"/>
          <w:szCs w:val="19"/>
        </w:rPr>
        <w:t>Q1.1: Row 1 — Body: The Board. Type: Full board or equivalent. Topics: Health safety and wellbeing, Diversity. Description: “The Board is responsible for workforce matters.” Q1.2: “Workforce information is provided to senior management and the Board.”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293867" w14:paraId="2B1DB986" w14:textId="77777777">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293867" w:rsidRDefault="001B3773">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293867" w:rsidRDefault="001B3773">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293867" w:rsidRDefault="001B3773">
            <w:pPr>
              <w:jc w:val="center"/>
            </w:pPr>
            <w:r>
              <w:rPr>
                <w:b/>
                <w:bCs/>
                <w:color w:val="FFFFFF"/>
                <w:sz w:val="16"/>
                <w:szCs w:val="16"/>
              </w:rPr>
              <w:t>Calculation</w:t>
            </w:r>
          </w:p>
        </w:tc>
      </w:tr>
      <w:tr w:rsidR="00293867" w14:paraId="6CC2AFBF" w14:textId="77777777">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E1CD5F5" w14:textId="77777777" w:rsidR="00293867" w:rsidRDefault="001B3773">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000F54A" w14:textId="77777777" w:rsidR="00293867" w:rsidRDefault="001B3773">
            <w:pPr>
              <w:spacing w:before="20" w:after="20"/>
            </w:pPr>
            <w:r>
              <w:rPr>
                <w:color w:val="1A1A1A"/>
                <w:sz w:val="18"/>
                <w:szCs w:val="18"/>
              </w:rPr>
              <w:t>2 (</w:t>
            </w:r>
            <w:proofErr w:type="gramStart"/>
            <w:r>
              <w:rPr>
                <w:color w:val="1A1A1A"/>
                <w:sz w:val="18"/>
                <w:szCs w:val="18"/>
              </w:rPr>
              <w:t>Basic) —</w:t>
            </w:r>
            <w:proofErr w:type="gramEnd"/>
            <w:r>
              <w:rPr>
                <w:color w:val="1A1A1A"/>
                <w:sz w:val="18"/>
                <w:szCs w:val="18"/>
              </w:rPr>
              <w:t xml:space="preserve"> One body named (Full board) with type selected and two topics selected (H&amp;S, Diversity). Only </w:t>
            </w:r>
            <w:proofErr w:type="gramStart"/>
            <w:r>
              <w:rPr>
                <w:color w:val="1A1A1A"/>
                <w:sz w:val="18"/>
                <w:szCs w:val="18"/>
              </w:rPr>
              <w:t>Board-level</w:t>
            </w:r>
            <w:proofErr w:type="gramEnd"/>
            <w:r>
              <w:rPr>
                <w:color w:val="1A1A1A"/>
                <w:sz w:val="18"/>
                <w:szCs w:val="18"/>
              </w:rPr>
              <w:t xml:space="preserve"> represented (no executive-level body). Topic coverage limited to 2 areas. OR: one source with partial coverage.</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1C8F396" w14:textId="77777777" w:rsidR="00293867" w:rsidRDefault="00293867">
            <w:pPr>
              <w:spacing w:before="20" w:after="20"/>
            </w:pPr>
          </w:p>
        </w:tc>
      </w:tr>
      <w:tr w:rsidR="00293867" w14:paraId="316D5685" w14:textId="77777777">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9ADA280" w14:textId="77777777" w:rsidR="00293867" w:rsidRDefault="001B3773">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823E5DC" w14:textId="77777777" w:rsidR="00293867" w:rsidRDefault="001B3773">
            <w:pPr>
              <w:spacing w:before="20" w:after="20"/>
            </w:pPr>
            <w:r>
              <w:rPr>
                <w:color w:val="1A1A1A"/>
                <w:sz w:val="18"/>
                <w:szCs w:val="18"/>
              </w:rPr>
              <w:t>1 (</w:t>
            </w:r>
            <w:proofErr w:type="gramStart"/>
            <w:r>
              <w:rPr>
                <w:color w:val="1A1A1A"/>
                <w:sz w:val="18"/>
                <w:szCs w:val="18"/>
              </w:rPr>
              <w:t>Minimal) —</w:t>
            </w:r>
            <w:proofErr w:type="gramEnd"/>
            <w:r>
              <w:rPr>
                <w:color w:val="1A1A1A"/>
                <w:sz w:val="18"/>
                <w:szCs w:val="18"/>
              </w:rPr>
              <w:t xml:space="preserve"> Q1.1 description is one generic sentence with no process content. Q1.2 states that information is provided but names no specific information types, no governance forums beyond ‘senior management and the Board’, no frequency, and no strategic planning use. OR: minimal signals in both sources.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2A3D3EC" w14:textId="77777777" w:rsidR="00293867" w:rsidRDefault="00293867">
            <w:pPr>
              <w:spacing w:before="20" w:after="20"/>
            </w:pPr>
          </w:p>
        </w:tc>
      </w:tr>
      <w:tr w:rsidR="00293867" w14:paraId="2EBFC250" w14:textId="77777777">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293867" w:rsidRDefault="001B3773">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85E18FD" w14:textId="77777777" w:rsidR="00293867" w:rsidRDefault="001B3773">
            <w:pPr>
              <w:spacing w:before="20" w:after="20"/>
            </w:pPr>
            <w:r>
              <w:rPr>
                <w:b/>
                <w:bCs/>
                <w:color w:val="1A1A1A"/>
                <w:sz w:val="19"/>
                <w:szCs w:val="19"/>
              </w:rPr>
              <w:t>(2 + 1) ÷ 2 = 1.50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6DECE78" w14:textId="77777777" w:rsidR="00293867" w:rsidRDefault="001B3773">
            <w:pPr>
              <w:spacing w:before="20" w:after="20"/>
            </w:pPr>
            <w:r>
              <w:rPr>
                <w:b/>
                <w:bCs/>
                <w:color w:val="1A1A1A"/>
                <w:sz w:val="19"/>
                <w:szCs w:val="19"/>
              </w:rPr>
              <w:t>Topic Score = 1.50 × 20 = 30 / 100</w:t>
            </w:r>
          </w:p>
        </w:tc>
      </w:tr>
    </w:tbl>
    <w:p w14:paraId="58DEC542" w14:textId="77777777" w:rsidR="00293867" w:rsidRDefault="001B3773">
      <w:pPr>
        <w:spacing w:before="80" w:after="60"/>
      </w:pPr>
      <w:r>
        <w:rPr>
          <w:i/>
          <w:iCs/>
          <w:color w:val="666666"/>
          <w:sz w:val="17"/>
          <w:szCs w:val="17"/>
        </w:rPr>
        <w:lastRenderedPageBreak/>
        <w:t>30/100. Key next steps: (1) expand Q1.1 topics to reflect all workforce matters the Board actually oversees; (2) add an executive-level row to Q1.1 covering day-to-day management accountability; (3) expand the Q1.1 description to describe what the Board reviews and how often; (4) expand Q1.2 to name the specific workforce information provided, the forums involved, the review frequency, and a concrete example of how the information informed a strategic decision.</w:t>
      </w:r>
    </w:p>
    <w:sectPr w:rsidR="00293867">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E3B0" w14:textId="77777777" w:rsidR="004865D3" w:rsidRDefault="004865D3" w:rsidP="00A30CC1">
      <w:r>
        <w:separator/>
      </w:r>
    </w:p>
  </w:endnote>
  <w:endnote w:type="continuationSeparator" w:id="0">
    <w:p w14:paraId="3E607844" w14:textId="77777777" w:rsidR="004865D3" w:rsidRDefault="004865D3" w:rsidP="00A3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8D501" w14:textId="77777777" w:rsidR="00A30CC1" w:rsidRDefault="00A30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4248" w14:textId="77777777" w:rsidR="00A30CC1" w:rsidRDefault="00A30C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2D4D" w14:textId="77777777" w:rsidR="00A30CC1" w:rsidRDefault="00A30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03C79" w14:textId="77777777" w:rsidR="004865D3" w:rsidRDefault="004865D3" w:rsidP="00A30CC1">
      <w:r>
        <w:separator/>
      </w:r>
    </w:p>
  </w:footnote>
  <w:footnote w:type="continuationSeparator" w:id="0">
    <w:p w14:paraId="58D86B4E" w14:textId="77777777" w:rsidR="004865D3" w:rsidRDefault="004865D3" w:rsidP="00A30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4050" w14:textId="77777777" w:rsidR="00A30CC1" w:rsidRDefault="00A30C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396910"/>
      <w:docPartObj>
        <w:docPartGallery w:val="Watermarks"/>
        <w:docPartUnique/>
      </w:docPartObj>
    </w:sdtPr>
    <w:sdtContent>
      <w:p w14:paraId="3574A152" w14:textId="77777777" w:rsidR="00A30CC1" w:rsidRDefault="00000000">
        <w:pPr>
          <w:pStyle w:val="Header"/>
        </w:pPr>
        <w:r>
          <w:rPr>
            <w:noProof/>
          </w:rPr>
          <w:pict w14:anchorId="242CB6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261D" w14:textId="77777777" w:rsidR="00A30CC1" w:rsidRDefault="00A30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9694D"/>
    <w:multiLevelType w:val="hybridMultilevel"/>
    <w:tmpl w:val="FFFFFFFF"/>
    <w:lvl w:ilvl="0" w:tplc="DFE880E6">
      <w:start w:val="1"/>
      <w:numFmt w:val="bullet"/>
      <w:lvlText w:val="●"/>
      <w:lvlJc w:val="left"/>
      <w:pPr>
        <w:ind w:left="720" w:hanging="360"/>
      </w:pPr>
    </w:lvl>
    <w:lvl w:ilvl="1" w:tplc="66C4F3BC">
      <w:start w:val="1"/>
      <w:numFmt w:val="bullet"/>
      <w:lvlText w:val="○"/>
      <w:lvlJc w:val="left"/>
      <w:pPr>
        <w:ind w:left="1440" w:hanging="360"/>
      </w:pPr>
    </w:lvl>
    <w:lvl w:ilvl="2" w:tplc="31C6FF70">
      <w:start w:val="1"/>
      <w:numFmt w:val="bullet"/>
      <w:lvlText w:val="■"/>
      <w:lvlJc w:val="left"/>
      <w:pPr>
        <w:ind w:left="2160" w:hanging="360"/>
      </w:pPr>
    </w:lvl>
    <w:lvl w:ilvl="3" w:tplc="1B026092">
      <w:start w:val="1"/>
      <w:numFmt w:val="bullet"/>
      <w:lvlText w:val="●"/>
      <w:lvlJc w:val="left"/>
      <w:pPr>
        <w:ind w:left="2880" w:hanging="360"/>
      </w:pPr>
    </w:lvl>
    <w:lvl w:ilvl="4" w:tplc="262830D0">
      <w:start w:val="1"/>
      <w:numFmt w:val="bullet"/>
      <w:lvlText w:val="○"/>
      <w:lvlJc w:val="left"/>
      <w:pPr>
        <w:ind w:left="3600" w:hanging="360"/>
      </w:pPr>
    </w:lvl>
    <w:lvl w:ilvl="5" w:tplc="2A963FA0">
      <w:start w:val="1"/>
      <w:numFmt w:val="bullet"/>
      <w:lvlText w:val="■"/>
      <w:lvlJc w:val="left"/>
      <w:pPr>
        <w:ind w:left="4320" w:hanging="360"/>
      </w:pPr>
    </w:lvl>
    <w:lvl w:ilvl="6" w:tplc="5E1E307C">
      <w:start w:val="1"/>
      <w:numFmt w:val="bullet"/>
      <w:lvlText w:val="●"/>
      <w:lvlJc w:val="left"/>
      <w:pPr>
        <w:ind w:left="5040" w:hanging="360"/>
      </w:pPr>
    </w:lvl>
    <w:lvl w:ilvl="7" w:tplc="5BA68870">
      <w:start w:val="1"/>
      <w:numFmt w:val="bullet"/>
      <w:lvlText w:val="●"/>
      <w:lvlJc w:val="left"/>
      <w:pPr>
        <w:ind w:left="5760" w:hanging="360"/>
      </w:pPr>
    </w:lvl>
    <w:lvl w:ilvl="8" w:tplc="BCAC928E">
      <w:start w:val="1"/>
      <w:numFmt w:val="bullet"/>
      <w:lvlText w:val="●"/>
      <w:lvlJc w:val="left"/>
      <w:pPr>
        <w:ind w:left="6480" w:hanging="360"/>
      </w:pPr>
    </w:lvl>
  </w:abstractNum>
  <w:num w:numId="1" w16cid:durableId="146041595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C706155"/>
    <w:rsid w:val="000359D4"/>
    <w:rsid w:val="0015259C"/>
    <w:rsid w:val="00187BBE"/>
    <w:rsid w:val="001B3773"/>
    <w:rsid w:val="00293867"/>
    <w:rsid w:val="004865D3"/>
    <w:rsid w:val="004C62ED"/>
    <w:rsid w:val="00574EBB"/>
    <w:rsid w:val="00A30CC1"/>
    <w:rsid w:val="00B17A4F"/>
    <w:rsid w:val="00BD1C82"/>
    <w:rsid w:val="00C318F1"/>
    <w:rsid w:val="00DD4868"/>
    <w:rsid w:val="00EF4A3E"/>
    <w:rsid w:val="00F757E8"/>
    <w:rsid w:val="00FB5218"/>
    <w:rsid w:val="6C706155"/>
    <w:rsid w:val="7DD0EF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E901C"/>
  <w15:docId w15:val="{7BCA145B-8102-4532-BF42-A155C3C0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style>
  <w:style w:type="character" w:styleId="CommentReference">
    <w:name w:val="annotation reference"/>
    <w:basedOn w:val="DefaultParagraphFont"/>
    <w:uiPriority w:val="99"/>
    <w:semiHidden/>
    <w:unhideWhenUsed/>
    <w:rsid w:val="00BD1C82"/>
    <w:rPr>
      <w:sz w:val="16"/>
      <w:szCs w:val="16"/>
    </w:rPr>
  </w:style>
  <w:style w:type="paragraph" w:styleId="CommentText">
    <w:name w:val="annotation text"/>
    <w:basedOn w:val="Normal"/>
    <w:link w:val="CommentTextChar"/>
    <w:uiPriority w:val="99"/>
    <w:unhideWhenUsed/>
    <w:rsid w:val="00BD1C82"/>
  </w:style>
  <w:style w:type="character" w:customStyle="1" w:styleId="CommentTextChar">
    <w:name w:val="Comment Text Char"/>
    <w:basedOn w:val="DefaultParagraphFont"/>
    <w:link w:val="CommentText"/>
    <w:uiPriority w:val="99"/>
    <w:rsid w:val="00BD1C82"/>
  </w:style>
  <w:style w:type="paragraph" w:styleId="CommentSubject">
    <w:name w:val="annotation subject"/>
    <w:basedOn w:val="CommentText"/>
    <w:next w:val="CommentText"/>
    <w:link w:val="CommentSubjectChar"/>
    <w:uiPriority w:val="99"/>
    <w:semiHidden/>
    <w:unhideWhenUsed/>
    <w:rsid w:val="00BD1C82"/>
    <w:rPr>
      <w:b/>
      <w:bCs/>
    </w:rPr>
  </w:style>
  <w:style w:type="character" w:customStyle="1" w:styleId="CommentSubjectChar">
    <w:name w:val="Comment Subject Char"/>
    <w:basedOn w:val="CommentTextChar"/>
    <w:link w:val="CommentSubject"/>
    <w:uiPriority w:val="99"/>
    <w:semiHidden/>
    <w:rsid w:val="00BD1C82"/>
    <w:rPr>
      <w:b/>
      <w:bCs/>
    </w:rPr>
  </w:style>
  <w:style w:type="paragraph" w:styleId="Header">
    <w:name w:val="header"/>
    <w:basedOn w:val="Normal"/>
    <w:link w:val="HeaderChar"/>
    <w:uiPriority w:val="99"/>
    <w:unhideWhenUsed/>
    <w:rsid w:val="00A30CC1"/>
    <w:pPr>
      <w:tabs>
        <w:tab w:val="center" w:pos="4513"/>
        <w:tab w:val="right" w:pos="9026"/>
      </w:tabs>
    </w:pPr>
  </w:style>
  <w:style w:type="character" w:customStyle="1" w:styleId="HeaderChar">
    <w:name w:val="Header Char"/>
    <w:basedOn w:val="DefaultParagraphFont"/>
    <w:link w:val="Header"/>
    <w:uiPriority w:val="99"/>
    <w:rsid w:val="00A30CC1"/>
    <w:rPr>
      <w:rFonts w:eastAsia="Times New Roman"/>
    </w:rPr>
  </w:style>
  <w:style w:type="paragraph" w:styleId="Footer">
    <w:name w:val="footer"/>
    <w:basedOn w:val="Normal"/>
    <w:link w:val="FooterChar"/>
    <w:uiPriority w:val="99"/>
    <w:unhideWhenUsed/>
    <w:rsid w:val="00A30CC1"/>
    <w:pPr>
      <w:tabs>
        <w:tab w:val="center" w:pos="4513"/>
        <w:tab w:val="right" w:pos="9026"/>
      </w:tabs>
    </w:pPr>
  </w:style>
  <w:style w:type="character" w:customStyle="1" w:styleId="FooterChar">
    <w:name w:val="Footer Char"/>
    <w:basedOn w:val="DefaultParagraphFont"/>
    <w:link w:val="Footer"/>
    <w:uiPriority w:val="99"/>
    <w:rsid w:val="00A30CC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2F86-E913-46B2-8C65-B37BCDC30CAD}">
  <ds:schemaRefs>
    <ds:schemaRef ds:uri="http://schemas.microsoft.com/sharepoint/v3/contenttype/forms"/>
  </ds:schemaRefs>
</ds:datastoreItem>
</file>

<file path=customXml/itemProps2.xml><?xml version="1.0" encoding="utf-8"?>
<ds:datastoreItem xmlns:ds="http://schemas.openxmlformats.org/officeDocument/2006/customXml" ds:itemID="{580E793C-8B18-46D9-9BBF-C8AD2C05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1222D-DE02-4CD3-889F-01BA608B29FA}">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4.xml><?xml version="1.0" encoding="utf-8"?>
<ds:datastoreItem xmlns:ds="http://schemas.openxmlformats.org/officeDocument/2006/customXml" ds:itemID="{DD5AB6F1-F7DD-44F4-A1FD-83496AF1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2619</Words>
  <Characters>14930</Characters>
  <Application>Microsoft Office Word</Application>
  <DocSecurity>0</DocSecurity>
  <Lines>124</Lines>
  <Paragraphs>35</Paragraphs>
  <ScaleCrop>false</ScaleCrop>
  <Company/>
  <LinksUpToDate>false</LinksUpToDate>
  <CharactersWithSpaces>17514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Arora, Cmran (TR Foundation)</cp:lastModifiedBy>
  <cp:revision>9</cp:revision>
  <dcterms:created xsi:type="dcterms:W3CDTF">2026-07-07T18:31:00Z</dcterms:created>
  <dcterms:modified xsi:type="dcterms:W3CDTF">2026-07-14T06:22:00Z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